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BDF3" w14:textId="77777777" w:rsidR="002C55F1" w:rsidRPr="00ED1EA9" w:rsidRDefault="002C55F1" w:rsidP="002C55F1">
      <w:pPr>
        <w:spacing w:after="0" w:line="240" w:lineRule="auto"/>
        <w:ind w:left="2410" w:hanging="2268"/>
        <w:jc w:val="center"/>
        <w:rPr>
          <w:rFonts w:ascii="Times New Roman" w:eastAsia="Times New Roman" w:hAnsi="Times New Roman" w:cs="Times New Roman"/>
          <w:b/>
          <w:bCs/>
          <w:noProof/>
          <w:sz w:val="28"/>
          <w:lang w:val="az-Latn-AZ"/>
        </w:rPr>
      </w:pPr>
      <w:r w:rsidRPr="00ED1EA9">
        <w:rPr>
          <w:rFonts w:ascii="Times New Roman" w:eastAsia="Times New Roman" w:hAnsi="Times New Roman" w:cs="Times New Roman"/>
          <w:b/>
          <w:bCs/>
          <w:noProof/>
          <w:sz w:val="28"/>
          <w:lang w:val="az-Latn-AZ"/>
        </w:rPr>
        <w:t>“PAŞA Həyat Sığorta” Açıq Səhmdar Cəmiyyəti</w:t>
      </w:r>
    </w:p>
    <w:p w14:paraId="667ED1C4" w14:textId="77777777" w:rsidR="002C55F1" w:rsidRPr="00ED1EA9" w:rsidRDefault="002C55F1" w:rsidP="002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lang w:val="az-Latn-AZ"/>
        </w:rPr>
      </w:pPr>
    </w:p>
    <w:p w14:paraId="50364221" w14:textId="6D04BCDA" w:rsidR="002903D0" w:rsidRPr="00ED1EA9" w:rsidRDefault="002C55F1" w:rsidP="002C55F1">
      <w:pPr>
        <w:rPr>
          <w:rFonts w:ascii="Times New Roman" w:hAnsi="Times New Roman" w:cs="Times New Roman"/>
          <w:noProof/>
          <w:sz w:val="6"/>
          <w:lang w:val="az-Latn-AZ"/>
        </w:rPr>
      </w:pPr>
      <w:r w:rsidRPr="00ED1EA9">
        <w:rPr>
          <w:rFonts w:ascii="Times New Roman" w:eastAsia="Times New Roman" w:hAnsi="Times New Roman" w:cs="Times New Roman"/>
          <w:b/>
          <w:bCs/>
          <w:noProof/>
          <w:sz w:val="28"/>
          <w:lang w:val="az-Latn-AZ"/>
        </w:rPr>
        <w:t xml:space="preserve">                                        İNVESTİSİYA HESABATI</w:t>
      </w:r>
    </w:p>
    <w:p w14:paraId="4C93C9CC" w14:textId="77777777" w:rsidR="00910307" w:rsidRPr="00ED1EA9" w:rsidRDefault="00910307" w:rsidP="00910307">
      <w:pPr>
        <w:pStyle w:val="ListParagraph"/>
        <w:jc w:val="both"/>
        <w:rPr>
          <w:rFonts w:ascii="Times New Roman" w:hAnsi="Times New Roman" w:cs="Times New Roman"/>
          <w:noProof/>
          <w:sz w:val="8"/>
          <w:lang w:val="az-Latn-AZ"/>
        </w:rPr>
      </w:pPr>
    </w:p>
    <w:p w14:paraId="5CB180D5" w14:textId="77777777" w:rsidR="00910307" w:rsidRPr="00ED1EA9" w:rsidRDefault="00910307" w:rsidP="00910307">
      <w:pPr>
        <w:pStyle w:val="ListParagraph"/>
        <w:jc w:val="both"/>
        <w:rPr>
          <w:rFonts w:ascii="Times New Roman" w:hAnsi="Times New Roman" w:cs="Times New Roman"/>
          <w:noProof/>
          <w:sz w:val="14"/>
          <w:lang w:val="az-Latn-AZ"/>
        </w:rPr>
      </w:pPr>
    </w:p>
    <w:p w14:paraId="20A85089" w14:textId="0EC9BCF0" w:rsidR="00910307" w:rsidRPr="00ED1EA9" w:rsidRDefault="00910307" w:rsidP="00910307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noProof/>
          <w:lang w:val="az-Latn-AZ"/>
        </w:rPr>
      </w:pPr>
      <w:r w:rsidRPr="00ED1EA9">
        <w:rPr>
          <w:rFonts w:ascii="Times New Roman" w:hAnsi="Times New Roman" w:cs="Times New Roman"/>
          <w:b/>
          <w:noProof/>
          <w:lang w:val="az-Latn-AZ"/>
        </w:rPr>
        <w:t>Ümumi müddəalar</w:t>
      </w:r>
    </w:p>
    <w:p w14:paraId="6C61FE61" w14:textId="77777777" w:rsidR="00E152A3" w:rsidRPr="00ED1EA9" w:rsidRDefault="00E152A3" w:rsidP="00E152A3">
      <w:pPr>
        <w:pStyle w:val="ListParagraph"/>
        <w:ind w:left="426"/>
        <w:jc w:val="both"/>
        <w:rPr>
          <w:rFonts w:ascii="Times New Roman" w:hAnsi="Times New Roman" w:cs="Times New Roman"/>
          <w:b/>
          <w:noProof/>
          <w:lang w:val="az-Latn-AZ"/>
        </w:rPr>
      </w:pPr>
    </w:p>
    <w:p w14:paraId="7426537C" w14:textId="77777777" w:rsidR="00910307" w:rsidRPr="00ED1EA9" w:rsidRDefault="00136D90" w:rsidP="00910307">
      <w:pPr>
        <w:pStyle w:val="ListParagraph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noProof/>
          <w:lang w:val="az-Latn-AZ"/>
        </w:rPr>
      </w:pPr>
      <w:r w:rsidRPr="00ED1EA9">
        <w:rPr>
          <w:rFonts w:ascii="Times New Roman" w:hAnsi="Times New Roman" w:cs="Times New Roman"/>
          <w:noProof/>
          <w:lang w:val="az-Latn-AZ"/>
        </w:rPr>
        <w:t xml:space="preserve">“PAŞA Həyat Sığorta” ASC </w:t>
      </w:r>
      <w:r w:rsidR="00910307" w:rsidRPr="00ED1EA9">
        <w:rPr>
          <w:rFonts w:ascii="Times New Roman" w:hAnsi="Times New Roman" w:cs="Times New Roman"/>
          <w:noProof/>
          <w:lang w:val="az-Latn-AZ"/>
        </w:rPr>
        <w:t xml:space="preserve">(bundan sonra “Cəmiyyət”) </w:t>
      </w:r>
      <w:r w:rsidRPr="00ED1EA9">
        <w:rPr>
          <w:rFonts w:ascii="Times New Roman" w:hAnsi="Times New Roman" w:cs="Times New Roman"/>
          <w:noProof/>
          <w:lang w:val="az-Latn-AZ"/>
        </w:rPr>
        <w:t xml:space="preserve">Azərbaycan Respublikası Mülki Məcəlləsinin 99.2 maddəsinin tələblərinə uyğun olaraq aşağıda göstərilən məlumatları hamının tanış olması üçün hər il </w:t>
      </w:r>
      <w:r w:rsidR="00910307" w:rsidRPr="00ED1EA9">
        <w:rPr>
          <w:rFonts w:ascii="Times New Roman" w:hAnsi="Times New Roman" w:cs="Times New Roman"/>
          <w:noProof/>
          <w:lang w:val="az-Latn-AZ"/>
        </w:rPr>
        <w:t xml:space="preserve">öz İnvestisiya hesabatında göstərərək rəsmi saytında paylaşır. </w:t>
      </w:r>
    </w:p>
    <w:p w14:paraId="7D5DB354" w14:textId="77777777" w:rsidR="00910307" w:rsidRPr="00ED1EA9" w:rsidRDefault="00910307" w:rsidP="00910307">
      <w:pPr>
        <w:pStyle w:val="ListParagraph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noProof/>
          <w:lang w:val="az-Latn-AZ"/>
        </w:rPr>
      </w:pPr>
      <w:r w:rsidRPr="00ED1EA9">
        <w:rPr>
          <w:rFonts w:ascii="Times New Roman" w:hAnsi="Times New Roman" w:cs="Times New Roman"/>
          <w:noProof/>
          <w:lang w:val="az-Latn-AZ"/>
        </w:rPr>
        <w:t>“İnvestisiya hesabatı”nda qeyd edilmiş məlumatların daha geniş və ətraflı təsviri Cəmiyyətin illik maliyyə və idarəetmə hesabatlarında əks etdirilmişdir.</w:t>
      </w:r>
    </w:p>
    <w:p w14:paraId="0EB5A451" w14:textId="77777777" w:rsidR="00910307" w:rsidRPr="00ED1EA9" w:rsidRDefault="00910307" w:rsidP="00910307">
      <w:pPr>
        <w:pStyle w:val="ListParagraph"/>
        <w:ind w:left="426"/>
        <w:jc w:val="both"/>
        <w:rPr>
          <w:rFonts w:ascii="Times New Roman" w:hAnsi="Times New Roman" w:cs="Times New Roman"/>
          <w:b/>
          <w:noProof/>
          <w:lang w:val="az-Latn-AZ"/>
        </w:rPr>
      </w:pPr>
    </w:p>
    <w:p w14:paraId="696D6235" w14:textId="08CDC3AD" w:rsidR="00910307" w:rsidRPr="00ED1EA9" w:rsidRDefault="00910307" w:rsidP="00910307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noProof/>
          <w:lang w:val="az-Latn-AZ"/>
        </w:rPr>
      </w:pPr>
      <w:r w:rsidRPr="00ED1EA9">
        <w:rPr>
          <w:rFonts w:ascii="Times New Roman" w:hAnsi="Times New Roman" w:cs="Times New Roman"/>
          <w:b/>
          <w:noProof/>
          <w:lang w:val="az-Latn-AZ"/>
        </w:rPr>
        <w:t xml:space="preserve">İnvestisiya hesabatı </w:t>
      </w:r>
      <w:r w:rsidRPr="00ED1EA9">
        <w:rPr>
          <w:rFonts w:ascii="Times New Roman" w:hAnsi="Times New Roman" w:cs="Times New Roman"/>
          <w:i/>
          <w:noProof/>
          <w:lang w:val="az-Latn-AZ"/>
        </w:rPr>
        <w:t>(</w:t>
      </w:r>
      <w:r w:rsidR="00513BB4">
        <w:rPr>
          <w:rFonts w:ascii="Times New Roman" w:hAnsi="Times New Roman" w:cs="Times New Roman"/>
          <w:i/>
          <w:noProof/>
          <w:lang w:val="az-Latn-AZ"/>
        </w:rPr>
        <w:t xml:space="preserve">31 Dekabr </w:t>
      </w:r>
      <w:r w:rsidR="00ED1EA9">
        <w:rPr>
          <w:rFonts w:ascii="Times New Roman" w:hAnsi="Times New Roman" w:cs="Times New Roman"/>
          <w:i/>
          <w:noProof/>
          <w:lang w:val="az-Latn-AZ"/>
        </w:rPr>
        <w:t>2021</w:t>
      </w:r>
      <w:r w:rsidRPr="00ED1EA9">
        <w:rPr>
          <w:rFonts w:ascii="Times New Roman" w:hAnsi="Times New Roman" w:cs="Times New Roman"/>
          <w:i/>
          <w:noProof/>
          <w:lang w:val="az-Latn-AZ"/>
        </w:rPr>
        <w:t>-c</w:t>
      </w:r>
      <w:r w:rsidR="007C6E3D" w:rsidRPr="00ED1EA9">
        <w:rPr>
          <w:rFonts w:ascii="Times New Roman" w:hAnsi="Times New Roman" w:cs="Times New Roman"/>
          <w:i/>
          <w:noProof/>
          <w:lang w:val="az-Latn-AZ"/>
        </w:rPr>
        <w:t>i</w:t>
      </w:r>
      <w:r w:rsidRPr="00ED1EA9">
        <w:rPr>
          <w:rFonts w:ascii="Times New Roman" w:hAnsi="Times New Roman" w:cs="Times New Roman"/>
          <w:i/>
          <w:noProof/>
          <w:lang w:val="az-Latn-AZ"/>
        </w:rPr>
        <w:t xml:space="preserve"> ildə başa çatmış il üzrə)</w:t>
      </w:r>
    </w:p>
    <w:p w14:paraId="245D8098" w14:textId="77777777" w:rsidR="00910307" w:rsidRPr="00ED1EA9" w:rsidRDefault="00910307">
      <w:pPr>
        <w:rPr>
          <w:rFonts w:ascii="Times New Roman" w:hAnsi="Times New Roman" w:cs="Times New Roman"/>
          <w:noProof/>
          <w:sz w:val="12"/>
          <w:lang w:val="az-Latn-AZ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804"/>
      </w:tblGrid>
      <w:tr w:rsidR="00136D90" w:rsidRPr="00ED1EA9" w14:paraId="3029EF7C" w14:textId="77777777" w:rsidTr="00D22ABC">
        <w:trPr>
          <w:trHeight w:val="391"/>
        </w:trPr>
        <w:tc>
          <w:tcPr>
            <w:tcW w:w="4112" w:type="dxa"/>
            <w:shd w:val="clear" w:color="auto" w:fill="D0CECE" w:themeFill="background2" w:themeFillShade="E6"/>
            <w:noWrap/>
            <w:vAlign w:val="center"/>
            <w:hideMark/>
          </w:tcPr>
          <w:p w14:paraId="321B0BEE" w14:textId="77777777" w:rsidR="00136D90" w:rsidRPr="00ED1EA9" w:rsidRDefault="001C6EE1" w:rsidP="001C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</w:pPr>
            <w:r w:rsidRPr="00ED1EA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  <w:t>Dərc edilməli məlumat</w:t>
            </w:r>
          </w:p>
        </w:tc>
        <w:tc>
          <w:tcPr>
            <w:tcW w:w="6804" w:type="dxa"/>
            <w:shd w:val="clear" w:color="auto" w:fill="D0CECE" w:themeFill="background2" w:themeFillShade="E6"/>
            <w:noWrap/>
            <w:vAlign w:val="center"/>
            <w:hideMark/>
          </w:tcPr>
          <w:p w14:paraId="52A57297" w14:textId="77777777" w:rsidR="00136D90" w:rsidRPr="00ED1EA9" w:rsidRDefault="001C6EE1" w:rsidP="001C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</w:pPr>
            <w:r w:rsidRPr="00ED1EA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  <w:t>Ətraflı</w:t>
            </w:r>
          </w:p>
        </w:tc>
      </w:tr>
      <w:tr w:rsidR="00910307" w:rsidRPr="00ED1EA9" w14:paraId="334CE047" w14:textId="77777777" w:rsidTr="008D7B38">
        <w:trPr>
          <w:trHeight w:val="70"/>
        </w:trPr>
        <w:tc>
          <w:tcPr>
            <w:tcW w:w="4112" w:type="dxa"/>
            <w:shd w:val="clear" w:color="auto" w:fill="auto"/>
            <w:vAlign w:val="center"/>
          </w:tcPr>
          <w:p w14:paraId="53D53FB6" w14:textId="77777777" w:rsidR="00910307" w:rsidRPr="00ED1EA9" w:rsidRDefault="00910307" w:rsidP="004E0FC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səhmdar kapitalının gəlirliyi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FA16E3" w14:textId="6BDC9C8B" w:rsidR="00910307" w:rsidRPr="00CC25A3" w:rsidRDefault="00CC25A3" w:rsidP="004E0FC3">
            <w:pPr>
              <w:spacing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</w:pPr>
            <w:r w:rsidRPr="00CC25A3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  <w:t>46,</w:t>
            </w:r>
            <w:r w:rsidR="0013537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  <w:t>32</w:t>
            </w:r>
            <w:r w:rsidRPr="00CC25A3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  <w:t xml:space="preserve"> - </w:t>
            </w:r>
            <w:r w:rsidRPr="00CC25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CC25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MHBS-a </w:t>
            </w:r>
            <w:r w:rsidRPr="00CC25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az-Latn-AZ"/>
              </w:rPr>
              <w:t>əsasən</w:t>
            </w:r>
            <w:r w:rsidRPr="00CC25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az-Latn-AZ"/>
              </w:rPr>
              <w:t>)</w:t>
            </w:r>
          </w:p>
        </w:tc>
      </w:tr>
      <w:tr w:rsidR="00457872" w:rsidRPr="00ED1EA9" w14:paraId="4DE113DF" w14:textId="77777777" w:rsidTr="004E0FC3">
        <w:trPr>
          <w:trHeight w:val="70"/>
        </w:trPr>
        <w:tc>
          <w:tcPr>
            <w:tcW w:w="4112" w:type="dxa"/>
            <w:shd w:val="clear" w:color="auto" w:fill="auto"/>
            <w:vAlign w:val="center"/>
          </w:tcPr>
          <w:p w14:paraId="2744C728" w14:textId="77777777" w:rsidR="00457872" w:rsidRPr="0013537B" w:rsidRDefault="00457872" w:rsidP="0045787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qiymətli kağızlarının gəlirliyi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990853" w14:textId="66E1F15B" w:rsidR="00457872" w:rsidRPr="0013537B" w:rsidRDefault="00CC25A3" w:rsidP="00457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</w:pPr>
            <w:bookmarkStart w:id="0" w:name="OLE_LINK25"/>
            <w:r w:rsidRPr="0013537B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Fəaliyyət olmayıb.</w:t>
            </w:r>
            <w:bookmarkEnd w:id="0"/>
          </w:p>
        </w:tc>
      </w:tr>
      <w:tr w:rsidR="00457872" w:rsidRPr="00ED1EA9" w14:paraId="3925B40D" w14:textId="77777777" w:rsidTr="008D7B38">
        <w:trPr>
          <w:trHeight w:val="70"/>
        </w:trPr>
        <w:tc>
          <w:tcPr>
            <w:tcW w:w="4112" w:type="dxa"/>
            <w:shd w:val="clear" w:color="auto" w:fill="auto"/>
            <w:vAlign w:val="center"/>
            <w:hideMark/>
          </w:tcPr>
          <w:p w14:paraId="4EC422EF" w14:textId="77777777" w:rsidR="00457872" w:rsidRPr="0013537B" w:rsidRDefault="00457872" w:rsidP="004578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qiymətli kağızlarının dövriyyəsi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7D0B42" w14:textId="52888FFB" w:rsidR="00457872" w:rsidRPr="0013537B" w:rsidRDefault="00CC25A3" w:rsidP="00457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</w:pPr>
            <w:r w:rsidRPr="0013537B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Fəaliyyət olmayıb.</w:t>
            </w:r>
          </w:p>
        </w:tc>
      </w:tr>
      <w:tr w:rsidR="00457872" w:rsidRPr="00ED1EA9" w14:paraId="59CF8BF5" w14:textId="77777777" w:rsidTr="004E0FC3">
        <w:trPr>
          <w:trHeight w:val="70"/>
        </w:trPr>
        <w:tc>
          <w:tcPr>
            <w:tcW w:w="4112" w:type="dxa"/>
            <w:shd w:val="clear" w:color="auto" w:fill="auto"/>
            <w:vAlign w:val="center"/>
            <w:hideMark/>
          </w:tcPr>
          <w:p w14:paraId="76791EBA" w14:textId="77777777" w:rsidR="00457872" w:rsidRPr="0013537B" w:rsidRDefault="00457872" w:rsidP="0045787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cəlb edilmiş maliyyə vəsaitləri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9CB4C4" w14:textId="431989BB" w:rsidR="00457872" w:rsidRPr="0013537B" w:rsidRDefault="00CC25A3" w:rsidP="00457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</w:pPr>
            <w:bookmarkStart w:id="1" w:name="OLE_LINK28"/>
            <w:r w:rsidRPr="0013537B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Fəaliyyət olmayıb.</w:t>
            </w:r>
            <w:bookmarkEnd w:id="1"/>
          </w:p>
        </w:tc>
      </w:tr>
      <w:tr w:rsidR="00457872" w:rsidRPr="00ED1EA9" w14:paraId="4E057695" w14:textId="77777777" w:rsidTr="004E0FC3">
        <w:trPr>
          <w:trHeight w:val="70"/>
        </w:trPr>
        <w:tc>
          <w:tcPr>
            <w:tcW w:w="4112" w:type="dxa"/>
            <w:shd w:val="clear" w:color="auto" w:fill="auto"/>
            <w:vAlign w:val="center"/>
            <w:hideMark/>
          </w:tcPr>
          <w:p w14:paraId="0A391E28" w14:textId="77777777" w:rsidR="00457872" w:rsidRPr="0013537B" w:rsidRDefault="00457872" w:rsidP="0045787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investisiyalarının həcmi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46AA70" w14:textId="6D432435" w:rsidR="00457872" w:rsidRPr="0013537B" w:rsidRDefault="00CC25A3" w:rsidP="003C2BFB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Cəmiyyətin ümumi investisiya portfeli qiymətli kağızlar, əmanət hesabları (yığım əmanətləri və müddətli əmanət hesabları), cari qalıqdakı məbləğlər və digər vəsaitlərdən ibarətdir. (Daha ətraflı Cədvəl 1.)</w:t>
            </w:r>
          </w:p>
        </w:tc>
      </w:tr>
      <w:tr w:rsidR="00457872" w:rsidRPr="00ED1EA9" w14:paraId="5CEE2B1A" w14:textId="77777777" w:rsidTr="00363843">
        <w:trPr>
          <w:trHeight w:val="373"/>
        </w:trPr>
        <w:tc>
          <w:tcPr>
            <w:tcW w:w="4112" w:type="dxa"/>
            <w:shd w:val="clear" w:color="auto" w:fill="auto"/>
            <w:vAlign w:val="center"/>
            <w:hideMark/>
          </w:tcPr>
          <w:p w14:paraId="42A3218C" w14:textId="77777777" w:rsidR="00457872" w:rsidRPr="0013537B" w:rsidRDefault="00457872" w:rsidP="004578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investisiyalarının mənbəyi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4AD586" w14:textId="0CEAAE58" w:rsidR="00457872" w:rsidRPr="0013537B" w:rsidRDefault="002756B5" w:rsidP="00457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</w:pPr>
            <w:r w:rsidRPr="001353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Cəmiyyətin investisiyalarının mənbəyini sığorta məhsulları üzrə müştərilərdən cəlb edilmiş sığorta haqları, investisiya nəticəsində əldə olunmuş faizlər və müddəti bitmiş maliyyə alətləri nəticəsində formalaşan sərbəst vəsaitlər təşkil edir.</w:t>
            </w:r>
          </w:p>
        </w:tc>
      </w:tr>
      <w:tr w:rsidR="00457872" w:rsidRPr="00ED1EA9" w14:paraId="58B36EA7" w14:textId="77777777" w:rsidTr="004E0FC3">
        <w:trPr>
          <w:trHeight w:val="373"/>
        </w:trPr>
        <w:tc>
          <w:tcPr>
            <w:tcW w:w="4112" w:type="dxa"/>
            <w:shd w:val="clear" w:color="auto" w:fill="auto"/>
            <w:vAlign w:val="center"/>
          </w:tcPr>
          <w:p w14:paraId="37F871D7" w14:textId="77777777" w:rsidR="00457872" w:rsidRPr="00ED1EA9" w:rsidRDefault="00457872" w:rsidP="0045787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bağladığı xüsusi əhəmiyyətli əqdlər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342670" w14:textId="4835E34E" w:rsidR="00457872" w:rsidRPr="00CC25A3" w:rsidRDefault="009665A6" w:rsidP="00457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Fəaliyyət olmayıb.</w:t>
            </w:r>
          </w:p>
        </w:tc>
      </w:tr>
      <w:tr w:rsidR="00457872" w:rsidRPr="00ED1EA9" w14:paraId="0269112C" w14:textId="77777777" w:rsidTr="004E0FC3">
        <w:trPr>
          <w:trHeight w:val="373"/>
        </w:trPr>
        <w:tc>
          <w:tcPr>
            <w:tcW w:w="4112" w:type="dxa"/>
            <w:shd w:val="clear" w:color="auto" w:fill="auto"/>
            <w:vAlign w:val="center"/>
          </w:tcPr>
          <w:p w14:paraId="76A8DFF2" w14:textId="77777777" w:rsidR="00457872" w:rsidRPr="00ED1EA9" w:rsidRDefault="00457872" w:rsidP="0045787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az-Latn-AZ"/>
              </w:rPr>
              <w:t>Cəmiyyətin aidiyyəti şəxsi ilə bağladığı əqdlər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CCB5A5" w14:textId="77777777" w:rsidR="0077239D" w:rsidRPr="0077239D" w:rsidRDefault="0077239D" w:rsidP="007723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</w:pPr>
            <w:bookmarkStart w:id="2" w:name="_Hlk107477111"/>
            <w:r w:rsidRPr="0077239D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“PAŞA Holding” MMC – Satınalma və əməkdaşlıq müqavilələri;</w:t>
            </w:r>
          </w:p>
          <w:p w14:paraId="4C615B73" w14:textId="77777777" w:rsidR="0077239D" w:rsidRPr="0077239D" w:rsidRDefault="0077239D" w:rsidP="007723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</w:pPr>
            <w:r w:rsidRPr="0077239D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“PAŞA Sığorta” ASC – Sığorta müqaviləsi;</w:t>
            </w:r>
          </w:p>
          <w:p w14:paraId="4DFE22D1" w14:textId="77777777" w:rsidR="0077239D" w:rsidRPr="0077239D" w:rsidRDefault="0077239D" w:rsidP="007723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</w:pPr>
            <w:r w:rsidRPr="0077239D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“PAŞA Bank” ASC – Xidmət müqaviləsi;</w:t>
            </w:r>
          </w:p>
          <w:p w14:paraId="47A43A9A" w14:textId="298A962D" w:rsidR="00457872" w:rsidRPr="0077239D" w:rsidRDefault="0077239D" w:rsidP="007723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</w:pPr>
            <w:r w:rsidRPr="0077239D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 xml:space="preserve">“PAŞA Technology” MMC </w:t>
            </w:r>
            <w:bookmarkEnd w:id="2"/>
            <w:r w:rsidRPr="0077239D"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  <w:lang w:val="az-Latn-AZ"/>
              </w:rPr>
              <w:t>– Xidmət müqaviləsi.</w:t>
            </w:r>
          </w:p>
        </w:tc>
      </w:tr>
    </w:tbl>
    <w:p w14:paraId="13C475B1" w14:textId="77777777" w:rsidR="00565D45" w:rsidRPr="00ED1EA9" w:rsidRDefault="00565D45" w:rsidP="00565D45">
      <w:pPr>
        <w:pStyle w:val="ListParagraph"/>
        <w:spacing w:line="252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az-Latn-AZ"/>
        </w:rPr>
      </w:pPr>
    </w:p>
    <w:p w14:paraId="72E3BD53" w14:textId="77777777" w:rsidR="00565D45" w:rsidRPr="00ED1EA9" w:rsidRDefault="00565D45">
      <w:pPr>
        <w:rPr>
          <w:rFonts w:ascii="Times New Roman" w:hAnsi="Times New Roman" w:cs="Times New Roman"/>
          <w:b/>
          <w:noProof/>
          <w:lang w:val="az-Latn-AZ"/>
        </w:rPr>
      </w:pPr>
      <w:r w:rsidRPr="00ED1EA9">
        <w:rPr>
          <w:rFonts w:ascii="Times New Roman" w:hAnsi="Times New Roman" w:cs="Times New Roman"/>
          <w:b/>
          <w:noProof/>
          <w:lang w:val="az-Latn-AZ"/>
        </w:rPr>
        <w:t>Cədvə</w:t>
      </w:r>
      <w:r w:rsidR="008D7B38" w:rsidRPr="00ED1EA9">
        <w:rPr>
          <w:rFonts w:ascii="Times New Roman" w:hAnsi="Times New Roman" w:cs="Times New Roman"/>
          <w:b/>
          <w:noProof/>
          <w:lang w:val="az-Latn-AZ"/>
        </w:rPr>
        <w:t>l 1</w:t>
      </w:r>
      <w:r w:rsidRPr="00ED1EA9">
        <w:rPr>
          <w:rFonts w:ascii="Times New Roman" w:hAnsi="Times New Roman" w:cs="Times New Roman"/>
          <w:b/>
          <w:noProof/>
          <w:lang w:val="az-Latn-AZ"/>
        </w:rPr>
        <w:t>:</w:t>
      </w:r>
    </w:p>
    <w:tbl>
      <w:tblPr>
        <w:tblW w:w="1091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678"/>
        <w:gridCol w:w="1984"/>
      </w:tblGrid>
      <w:tr w:rsidR="00565D45" w:rsidRPr="00ED1EA9" w14:paraId="34ED0ED9" w14:textId="77777777" w:rsidTr="00820EBF">
        <w:trPr>
          <w:trHeight w:val="300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0893" w14:textId="77777777" w:rsidR="00565D45" w:rsidRPr="00ED1EA9" w:rsidRDefault="00565D45" w:rsidP="00565D4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b/>
                <w:noProof/>
                <w:color w:val="000000"/>
                <w:sz w:val="20"/>
                <w:lang w:val="az-Latn-AZ"/>
              </w:rPr>
              <w:t>Ümumi investisiya portfeli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CA6C7" w14:textId="3C37F2A1" w:rsidR="00565D45" w:rsidRPr="00ED1EA9" w:rsidRDefault="00565D45" w:rsidP="00565D45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20</w:t>
            </w:r>
            <w:r w:rsidR="009665A6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21</w:t>
            </w: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-c</w:t>
            </w:r>
            <w:r w:rsidR="00440777"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i</w:t>
            </w: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 xml:space="preserve"> ilin dekabr ayının sonuna </w:t>
            </w:r>
            <w:r w:rsidR="008D7B38" w:rsidRPr="00ED1EA9">
              <w:rPr>
                <w:rFonts w:ascii="Times New Roman" w:hAnsi="Times New Roman" w:cs="Times New Roman"/>
                <w:i/>
                <w:noProof/>
                <w:color w:val="000000"/>
                <w:sz w:val="20"/>
                <w:lang w:val="az-Latn-AZ"/>
              </w:rPr>
              <w:t xml:space="preserve">( min </w:t>
            </w:r>
            <w:r w:rsidRPr="00ED1EA9">
              <w:rPr>
                <w:rFonts w:ascii="Times New Roman" w:hAnsi="Times New Roman" w:cs="Times New Roman"/>
                <w:i/>
                <w:noProof/>
                <w:color w:val="000000"/>
                <w:sz w:val="20"/>
                <w:lang w:val="az-Latn-AZ"/>
              </w:rPr>
              <w:t>AZN ilə)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DCAF" w14:textId="77777777" w:rsidR="00565D45" w:rsidRPr="00ED1EA9" w:rsidRDefault="00565D45" w:rsidP="00565D45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%</w:t>
            </w:r>
          </w:p>
        </w:tc>
      </w:tr>
      <w:tr w:rsidR="00565D45" w:rsidRPr="00ED1EA9" w14:paraId="1B8E1875" w14:textId="77777777" w:rsidTr="00BE32CC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7C9E" w14:textId="77777777" w:rsidR="00565D45" w:rsidRPr="00ED1EA9" w:rsidRDefault="00565D45" w:rsidP="00565D45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Qiymətli kağızlar (istiqrazlar)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6E73" w14:textId="4613B2F4" w:rsidR="00565D45" w:rsidRPr="00ED1EA9" w:rsidRDefault="00BE32CC" w:rsidP="008D7B3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BE32CC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271 480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FC55" w14:textId="567F7E9F" w:rsidR="00565D45" w:rsidRPr="00ED1EA9" w:rsidRDefault="009E3C80" w:rsidP="00565D45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9E3C80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73%</w:t>
            </w:r>
          </w:p>
        </w:tc>
      </w:tr>
      <w:tr w:rsidR="00363843" w:rsidRPr="00ED1EA9" w14:paraId="36436D5D" w14:textId="77777777" w:rsidTr="00820EBF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F03C" w14:textId="77777777" w:rsidR="00363843" w:rsidRPr="00ED1EA9" w:rsidRDefault="00363843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Yığım əmanət hesabları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FC52" w14:textId="3E4B2B98" w:rsidR="00363843" w:rsidRPr="00ED1EA9" w:rsidRDefault="004D50FA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4D50FA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41 429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BD6A" w14:textId="3CBC7BE3" w:rsidR="00363843" w:rsidRPr="00ED1EA9" w:rsidRDefault="009E3C80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9E3C80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11%</w:t>
            </w:r>
          </w:p>
        </w:tc>
      </w:tr>
      <w:tr w:rsidR="00363843" w:rsidRPr="00ED1EA9" w14:paraId="7FFADFD6" w14:textId="77777777" w:rsidTr="00820EBF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6B2A" w14:textId="77777777" w:rsidR="00363843" w:rsidRPr="00ED1EA9" w:rsidRDefault="00363843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Müddətli əmanət hesabları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170E" w14:textId="54C1DEDA" w:rsidR="00363843" w:rsidRPr="00ED1EA9" w:rsidRDefault="004D50FA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4D50FA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40 268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4409" w14:textId="4B9E564D" w:rsidR="00363843" w:rsidRPr="00ED1EA9" w:rsidRDefault="009E3C80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9E3C80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11%</w:t>
            </w:r>
          </w:p>
        </w:tc>
      </w:tr>
      <w:tr w:rsidR="00363843" w:rsidRPr="00ED1EA9" w14:paraId="0BFC0FA9" w14:textId="77777777" w:rsidTr="00820EBF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1B63" w14:textId="77777777" w:rsidR="00363843" w:rsidRPr="00ED1EA9" w:rsidRDefault="00363843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Cari qalıqlardakı məbləğlər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8E8A" w14:textId="6AE2C446" w:rsidR="00363843" w:rsidRPr="00ED1EA9" w:rsidRDefault="00314E4B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18</w:t>
            </w:r>
            <w:r w:rsidR="00BE32CC" w:rsidRPr="00314E4B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1B59" w14:textId="7FD46261" w:rsidR="00363843" w:rsidRPr="00ED1EA9" w:rsidRDefault="009E3C80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highlight w:val="yellow"/>
                <w:lang w:val="az-Latn-AZ"/>
              </w:rPr>
            </w:pPr>
            <w:r w:rsidRPr="009E3C80">
              <w:rPr>
                <w:rFonts w:ascii="Times New Roman" w:hAnsi="Times New Roman" w:cs="Times New Roman"/>
                <w:noProof/>
                <w:color w:val="000000"/>
                <w:sz w:val="20"/>
                <w:lang w:val="az-Latn-AZ"/>
              </w:rPr>
              <w:t>5%</w:t>
            </w:r>
          </w:p>
        </w:tc>
      </w:tr>
      <w:tr w:rsidR="00363843" w:rsidRPr="00ED1EA9" w14:paraId="1A736ACD" w14:textId="77777777" w:rsidTr="00820EBF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7034" w14:textId="77777777" w:rsidR="00363843" w:rsidRPr="00ED1EA9" w:rsidRDefault="00363843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az-Latn-AZ"/>
              </w:rPr>
            </w:pPr>
            <w:r w:rsidRPr="00ED1EA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az-Latn-AZ"/>
              </w:rPr>
              <w:t>Digər (əgər varsa)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625E" w14:textId="00439977" w:rsidR="00363843" w:rsidRPr="00ED1EA9" w:rsidRDefault="00314E4B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val="az-Latn-AZ"/>
              </w:rPr>
            </w:pPr>
            <w:r w:rsidRPr="00314E4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8412" w14:textId="5128280A" w:rsidR="00363843" w:rsidRPr="00ED1EA9" w:rsidRDefault="009E3C80" w:rsidP="00363843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val="az-Latn-AZ"/>
              </w:rPr>
            </w:pPr>
            <w:r w:rsidRPr="009E3C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az-Latn-AZ"/>
              </w:rPr>
              <w:t>0%</w:t>
            </w:r>
          </w:p>
        </w:tc>
      </w:tr>
    </w:tbl>
    <w:p w14:paraId="58D50028" w14:textId="77777777" w:rsidR="00565D45" w:rsidRPr="00ED1EA9" w:rsidRDefault="00565D45">
      <w:pPr>
        <w:rPr>
          <w:rFonts w:ascii="Times New Roman" w:hAnsi="Times New Roman" w:cs="Times New Roman"/>
          <w:noProof/>
          <w:lang w:val="az-Latn-AZ"/>
        </w:rPr>
      </w:pPr>
    </w:p>
    <w:sectPr w:rsidR="00565D45" w:rsidRPr="00ED1EA9" w:rsidSect="000769C0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FCE9" w14:textId="77777777" w:rsidR="00C65CF6" w:rsidRDefault="00C65CF6" w:rsidP="007C6E3D">
      <w:pPr>
        <w:spacing w:after="0" w:line="240" w:lineRule="auto"/>
      </w:pPr>
      <w:r>
        <w:separator/>
      </w:r>
    </w:p>
  </w:endnote>
  <w:endnote w:type="continuationSeparator" w:id="0">
    <w:p w14:paraId="43C54D39" w14:textId="77777777" w:rsidR="00C65CF6" w:rsidRDefault="00C65CF6" w:rsidP="007C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7EEC" w14:textId="77777777" w:rsidR="00C65CF6" w:rsidRDefault="00C65CF6" w:rsidP="007C6E3D">
      <w:pPr>
        <w:spacing w:after="0" w:line="240" w:lineRule="auto"/>
      </w:pPr>
      <w:r>
        <w:separator/>
      </w:r>
    </w:p>
  </w:footnote>
  <w:footnote w:type="continuationSeparator" w:id="0">
    <w:p w14:paraId="58E23304" w14:textId="77777777" w:rsidR="00C65CF6" w:rsidRDefault="00C65CF6" w:rsidP="007C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413A"/>
    <w:multiLevelType w:val="hybridMultilevel"/>
    <w:tmpl w:val="84E4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436C"/>
    <w:multiLevelType w:val="hybridMultilevel"/>
    <w:tmpl w:val="400C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54C4"/>
    <w:multiLevelType w:val="hybridMultilevel"/>
    <w:tmpl w:val="400C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109"/>
    <w:multiLevelType w:val="multilevel"/>
    <w:tmpl w:val="A2FE6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E51FB0"/>
    <w:multiLevelType w:val="hybridMultilevel"/>
    <w:tmpl w:val="00B20AD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B6EA5"/>
    <w:multiLevelType w:val="hybridMultilevel"/>
    <w:tmpl w:val="CAFC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2"/>
    <w:rsid w:val="00022423"/>
    <w:rsid w:val="000444B4"/>
    <w:rsid w:val="000478D5"/>
    <w:rsid w:val="000769C0"/>
    <w:rsid w:val="00107299"/>
    <w:rsid w:val="0013537B"/>
    <w:rsid w:val="00136D90"/>
    <w:rsid w:val="001C6EE1"/>
    <w:rsid w:val="002756B5"/>
    <w:rsid w:val="002903D0"/>
    <w:rsid w:val="002C55F1"/>
    <w:rsid w:val="002D7559"/>
    <w:rsid w:val="002F041A"/>
    <w:rsid w:val="00314E4B"/>
    <w:rsid w:val="003408AC"/>
    <w:rsid w:val="00363843"/>
    <w:rsid w:val="003A4D5E"/>
    <w:rsid w:val="003C2BFB"/>
    <w:rsid w:val="0043116A"/>
    <w:rsid w:val="00440777"/>
    <w:rsid w:val="00457872"/>
    <w:rsid w:val="004D50FA"/>
    <w:rsid w:val="004E0FC3"/>
    <w:rsid w:val="00513BB4"/>
    <w:rsid w:val="00522B60"/>
    <w:rsid w:val="00565D45"/>
    <w:rsid w:val="006431B8"/>
    <w:rsid w:val="006D4577"/>
    <w:rsid w:val="0077239D"/>
    <w:rsid w:val="00794632"/>
    <w:rsid w:val="0079625B"/>
    <w:rsid w:val="007C6E3D"/>
    <w:rsid w:val="007C7748"/>
    <w:rsid w:val="00820EBF"/>
    <w:rsid w:val="008D7B38"/>
    <w:rsid w:val="008E0365"/>
    <w:rsid w:val="008E31FB"/>
    <w:rsid w:val="008E7F29"/>
    <w:rsid w:val="00910307"/>
    <w:rsid w:val="00942B24"/>
    <w:rsid w:val="009665A6"/>
    <w:rsid w:val="009E3C80"/>
    <w:rsid w:val="00A00A12"/>
    <w:rsid w:val="00A239F8"/>
    <w:rsid w:val="00A64652"/>
    <w:rsid w:val="00AC0386"/>
    <w:rsid w:val="00B60630"/>
    <w:rsid w:val="00BE32CC"/>
    <w:rsid w:val="00C47981"/>
    <w:rsid w:val="00C65CF6"/>
    <w:rsid w:val="00C66B4A"/>
    <w:rsid w:val="00CC25A3"/>
    <w:rsid w:val="00D22ABC"/>
    <w:rsid w:val="00D737F3"/>
    <w:rsid w:val="00E152A3"/>
    <w:rsid w:val="00E24966"/>
    <w:rsid w:val="00ED1EA9"/>
    <w:rsid w:val="00F43763"/>
    <w:rsid w:val="00F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34B19"/>
  <w15:chartTrackingRefBased/>
  <w15:docId w15:val="{A8B63458-0288-4B72-A137-5461CE5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9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C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E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Sabuhi Goyushov</dc:creator>
  <cp:keywords/>
  <dc:description/>
  <cp:lastModifiedBy>Sevinj Sharifova</cp:lastModifiedBy>
  <cp:revision>16</cp:revision>
  <dcterms:created xsi:type="dcterms:W3CDTF">2020-07-03T10:27:00Z</dcterms:created>
  <dcterms:modified xsi:type="dcterms:W3CDTF">2022-08-16T12:56:00Z</dcterms:modified>
</cp:coreProperties>
</file>